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8A92" w14:textId="32C4E89C" w:rsidR="00B54469" w:rsidRPr="00DB0AB7" w:rsidRDefault="002416C9" w:rsidP="00DB0AB7">
      <w:pPr>
        <w:jc w:val="center"/>
        <w:rPr>
          <w:rFonts w:ascii="Arial" w:hAnsi="Arial" w:cs="Arial"/>
        </w:rPr>
      </w:pPr>
      <w:r w:rsidRPr="00DB0AB7">
        <w:rPr>
          <w:rFonts w:ascii="Arial" w:hAnsi="Arial" w:cs="Arial"/>
          <w:b/>
          <w:bCs/>
        </w:rPr>
        <w:t>Become a Trustee at Breakthrough UK and Make an Impact!</w:t>
      </w:r>
    </w:p>
    <w:p w14:paraId="673F91EE" w14:textId="003582A0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Are you passionate about equality, inclusion, and </w:t>
      </w:r>
      <w:r w:rsidR="00576A99">
        <w:rPr>
          <w:rFonts w:ascii="Arial" w:hAnsi="Arial" w:cs="Arial"/>
        </w:rPr>
        <w:t>the rights of</w:t>
      </w:r>
      <w:r w:rsidRPr="00DB0AB7">
        <w:rPr>
          <w:rFonts w:ascii="Arial" w:hAnsi="Arial" w:cs="Arial"/>
        </w:rPr>
        <w:t xml:space="preserve"> disabled people? Breakthrough UK is seeking committed, strategic leaders to join our Board of Trustees and help drive our next phase of growth and impact.</w:t>
      </w:r>
    </w:p>
    <w:p w14:paraId="60C4206C" w14:textId="15B00E10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>We are a disability</w:t>
      </w:r>
      <w:r w:rsidRPr="00DB0AB7">
        <w:rPr>
          <w:rFonts w:ascii="Cambria Math" w:hAnsi="Cambria Math" w:cs="Cambria Math"/>
        </w:rPr>
        <w:t>‑</w:t>
      </w:r>
      <w:r w:rsidRPr="00DB0AB7">
        <w:rPr>
          <w:rFonts w:ascii="Arial" w:hAnsi="Arial" w:cs="Arial"/>
        </w:rPr>
        <w:t xml:space="preserve">led organisation working to remove barriers, influence policy, and create a more inclusive society. As we strengthen our financial resilience and expand our social enterprise activity, we are looking for Trustees who can bring expertise in </w:t>
      </w:r>
      <w:r w:rsidR="008C293D">
        <w:rPr>
          <w:rFonts w:ascii="Arial" w:hAnsi="Arial" w:cs="Arial"/>
        </w:rPr>
        <w:t xml:space="preserve">lived </w:t>
      </w:r>
      <w:r w:rsidR="007C04BD">
        <w:rPr>
          <w:rFonts w:ascii="Arial" w:hAnsi="Arial" w:cs="Arial"/>
        </w:rPr>
        <w:t>experience,</w:t>
      </w:r>
      <w:r w:rsidR="007C04BD" w:rsidRPr="00DB0AB7">
        <w:rPr>
          <w:rFonts w:ascii="Arial" w:hAnsi="Arial" w:cs="Arial"/>
        </w:rPr>
        <w:t xml:space="preserve"> finance</w:t>
      </w:r>
      <w:r w:rsidRPr="00DB0AB7">
        <w:rPr>
          <w:rFonts w:ascii="Arial" w:hAnsi="Arial" w:cs="Arial"/>
        </w:rPr>
        <w:t>, governance, income generation, marketing, leadership, and business development.</w:t>
      </w:r>
    </w:p>
    <w:p w14:paraId="5F1CBF53" w14:textId="77777777" w:rsidR="00B54469" w:rsidRPr="00DB0AB7" w:rsidRDefault="00B54469" w:rsidP="00B54469">
      <w:pPr>
        <w:rPr>
          <w:rFonts w:ascii="Arial" w:hAnsi="Arial" w:cs="Arial"/>
          <w:b/>
          <w:bCs/>
        </w:rPr>
      </w:pPr>
      <w:r w:rsidRPr="00DB0AB7">
        <w:rPr>
          <w:rFonts w:ascii="Arial" w:hAnsi="Arial" w:cs="Arial"/>
          <w:b/>
          <w:bCs/>
        </w:rPr>
        <w:t>Why Join Our Board?</w:t>
      </w:r>
    </w:p>
    <w:p w14:paraId="6CE4C929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Play a pivotal role in shaping a rights</w:t>
      </w:r>
      <w:r w:rsidRPr="00DB0AB7">
        <w:rPr>
          <w:rFonts w:ascii="Cambria Math" w:hAnsi="Cambria Math" w:cs="Cambria Math"/>
        </w:rPr>
        <w:t>‑</w:t>
      </w:r>
      <w:r w:rsidRPr="00DB0AB7">
        <w:rPr>
          <w:rFonts w:ascii="Arial" w:hAnsi="Arial" w:cs="Arial"/>
        </w:rPr>
        <w:t>based, disability</w:t>
      </w:r>
      <w:r w:rsidRPr="00DB0AB7">
        <w:rPr>
          <w:rFonts w:ascii="Cambria Math" w:hAnsi="Cambria Math" w:cs="Cambria Math"/>
        </w:rPr>
        <w:t>‑</w:t>
      </w:r>
      <w:r w:rsidRPr="00DB0AB7">
        <w:rPr>
          <w:rFonts w:ascii="Arial" w:hAnsi="Arial" w:cs="Arial"/>
        </w:rPr>
        <w:t>led organisation</w:t>
      </w:r>
    </w:p>
    <w:p w14:paraId="20062D52" w14:textId="77777777" w:rsidR="00B54469" w:rsidRPr="00DB0AB7" w:rsidRDefault="00B54469" w:rsidP="00B96AA8">
      <w:pPr>
        <w:ind w:left="720" w:hanging="720"/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Use your professional expertise to drive sustainable growth and influence national policy</w:t>
      </w:r>
    </w:p>
    <w:p w14:paraId="28056D58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Gain valuable leadership and governance experience</w:t>
      </w:r>
    </w:p>
    <w:p w14:paraId="7340988A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Work alongside people with diverse lived experiences</w:t>
      </w:r>
    </w:p>
    <w:p w14:paraId="1028E298" w14:textId="77777777" w:rsidR="00B54469" w:rsidRPr="00DB0AB7" w:rsidRDefault="00B54469" w:rsidP="00B96AA8">
      <w:pPr>
        <w:ind w:left="720" w:hanging="720"/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Receive induction, training, and ongoing support, with access adjustments as required</w:t>
      </w:r>
    </w:p>
    <w:p w14:paraId="0B898975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Benefit from regular 1:1s with the Chair or Vice Chair</w:t>
      </w:r>
    </w:p>
    <w:p w14:paraId="366B15BC" w14:textId="77777777" w:rsidR="00B54469" w:rsidRPr="00DB0AB7" w:rsidRDefault="00B54469" w:rsidP="00B54469">
      <w:pPr>
        <w:rPr>
          <w:rFonts w:ascii="Arial" w:hAnsi="Arial" w:cs="Arial"/>
        </w:rPr>
      </w:pPr>
    </w:p>
    <w:p w14:paraId="452DAB08" w14:textId="77777777" w:rsidR="00B54469" w:rsidRPr="00B96AA8" w:rsidRDefault="00B54469" w:rsidP="00B54469">
      <w:pPr>
        <w:rPr>
          <w:rFonts w:ascii="Arial" w:hAnsi="Arial" w:cs="Arial"/>
          <w:b/>
          <w:bCs/>
        </w:rPr>
      </w:pPr>
      <w:r w:rsidRPr="00B96AA8">
        <w:rPr>
          <w:rFonts w:ascii="Arial" w:hAnsi="Arial" w:cs="Arial"/>
          <w:b/>
          <w:bCs/>
        </w:rPr>
        <w:t>What You’ll Do as a Trustee</w:t>
      </w:r>
    </w:p>
    <w:p w14:paraId="040734AA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Champion disability rights, inclusion, and accessibility</w:t>
      </w:r>
    </w:p>
    <w:p w14:paraId="237C20AC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Provide strong governance and strategic oversight</w:t>
      </w:r>
    </w:p>
    <w:p w14:paraId="6BFE21D3" w14:textId="77777777" w:rsidR="00B54469" w:rsidRPr="00DB0AB7" w:rsidRDefault="00B54469" w:rsidP="00B96AA8">
      <w:pPr>
        <w:ind w:left="720" w:hanging="720"/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Support income growth through social enterprise, partnerships, and fundraising strategy</w:t>
      </w:r>
    </w:p>
    <w:p w14:paraId="0F649677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Strengthen financial planning, risk management, and long</w:t>
      </w:r>
      <w:r w:rsidRPr="00DB0AB7">
        <w:rPr>
          <w:rFonts w:ascii="Cambria Math" w:hAnsi="Cambria Math" w:cs="Cambria Math"/>
        </w:rPr>
        <w:t>‑</w:t>
      </w:r>
      <w:r w:rsidRPr="00DB0AB7">
        <w:rPr>
          <w:rFonts w:ascii="Arial" w:hAnsi="Arial" w:cs="Arial"/>
        </w:rPr>
        <w:t>term sustainability</w:t>
      </w:r>
    </w:p>
    <w:p w14:paraId="20ECFB9E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Shape our communications and marketing approach to amplify our message</w:t>
      </w:r>
    </w:p>
    <w:p w14:paraId="3E7DB291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Support the CEO and leadership team to deliver impact and innovation</w:t>
      </w:r>
    </w:p>
    <w:p w14:paraId="77383A2A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Ensure our work is shaped by lived experience and co</w:t>
      </w:r>
      <w:r w:rsidRPr="00DB0AB7">
        <w:rPr>
          <w:rFonts w:ascii="Cambria Math" w:hAnsi="Cambria Math" w:cs="Cambria Math"/>
        </w:rPr>
        <w:t>‑</w:t>
      </w:r>
      <w:r w:rsidRPr="00DB0AB7">
        <w:rPr>
          <w:rFonts w:ascii="Arial" w:hAnsi="Arial" w:cs="Arial"/>
        </w:rPr>
        <w:t>production</w:t>
      </w:r>
    </w:p>
    <w:p w14:paraId="1EFB8925" w14:textId="58D5A28B" w:rsidR="00B96AA8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Uphold our values of equity, transparency, and collaboration</w:t>
      </w:r>
    </w:p>
    <w:p w14:paraId="129F686C" w14:textId="7491345F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>Board meetings are held quarterly (currently online), with occasional additional sessions for strategy or sub</w:t>
      </w:r>
      <w:r w:rsidRPr="00DB0AB7">
        <w:rPr>
          <w:rFonts w:ascii="Cambria Math" w:hAnsi="Cambria Math" w:cs="Cambria Math"/>
        </w:rPr>
        <w:t>‑</w:t>
      </w:r>
      <w:r w:rsidRPr="00DB0AB7">
        <w:rPr>
          <w:rFonts w:ascii="Arial" w:hAnsi="Arial" w:cs="Arial"/>
        </w:rPr>
        <w:t>committees.</w:t>
      </w:r>
    </w:p>
    <w:p w14:paraId="0875A911" w14:textId="77777777" w:rsidR="00B54469" w:rsidRPr="00B96AA8" w:rsidRDefault="00B54469" w:rsidP="00B54469">
      <w:pPr>
        <w:rPr>
          <w:rFonts w:ascii="Arial" w:hAnsi="Arial" w:cs="Arial"/>
          <w:b/>
          <w:bCs/>
        </w:rPr>
      </w:pPr>
      <w:r w:rsidRPr="00B96AA8">
        <w:rPr>
          <w:rFonts w:ascii="Arial" w:hAnsi="Arial" w:cs="Arial"/>
          <w:b/>
          <w:bCs/>
        </w:rPr>
        <w:t>Who We’re Looking For</w:t>
      </w:r>
    </w:p>
    <w:p w14:paraId="24E39CA3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>We welcome applications from people with lived experience of disability and from those who bring expertise in one or more of the following areas:</w:t>
      </w:r>
    </w:p>
    <w:p w14:paraId="4AFCDA2D" w14:textId="77777777" w:rsidR="00B54469" w:rsidRPr="00BA2EFB" w:rsidRDefault="00B54469" w:rsidP="00B54469">
      <w:pPr>
        <w:rPr>
          <w:rFonts w:ascii="Arial" w:hAnsi="Arial" w:cs="Arial"/>
          <w:b/>
          <w:bCs/>
        </w:rPr>
      </w:pPr>
      <w:r w:rsidRPr="00BA2EFB">
        <w:rPr>
          <w:rFonts w:ascii="Arial" w:hAnsi="Arial" w:cs="Arial"/>
          <w:b/>
          <w:bCs/>
        </w:rPr>
        <w:t>Finance &amp; Governance</w:t>
      </w:r>
    </w:p>
    <w:p w14:paraId="614ADCB1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Financial planning, budgeting, audit, or charity finance</w:t>
      </w:r>
    </w:p>
    <w:p w14:paraId="1001652B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Strengthening governance, compliance, and accountability</w:t>
      </w:r>
    </w:p>
    <w:p w14:paraId="2092E78F" w14:textId="77777777" w:rsidR="00B54469" w:rsidRPr="00BA2EFB" w:rsidRDefault="00B54469" w:rsidP="00B54469">
      <w:pPr>
        <w:rPr>
          <w:rFonts w:ascii="Arial" w:hAnsi="Arial" w:cs="Arial"/>
          <w:b/>
          <w:bCs/>
        </w:rPr>
      </w:pPr>
      <w:r w:rsidRPr="00BA2EFB">
        <w:rPr>
          <w:rFonts w:ascii="Arial" w:hAnsi="Arial" w:cs="Arial"/>
          <w:b/>
          <w:bCs/>
        </w:rPr>
        <w:lastRenderedPageBreak/>
        <w:t>Income Growth &amp; Business Development</w:t>
      </w:r>
    </w:p>
    <w:p w14:paraId="3ECA109F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Social enterprise development</w:t>
      </w:r>
    </w:p>
    <w:p w14:paraId="68EC7C06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Fundraising strategy, partnerships, or income diversification</w:t>
      </w:r>
    </w:p>
    <w:p w14:paraId="535EF155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Commercial or entrepreneurial experience</w:t>
      </w:r>
    </w:p>
    <w:p w14:paraId="7C5D2D15" w14:textId="77777777" w:rsidR="00B54469" w:rsidRPr="00BA2EFB" w:rsidRDefault="00B54469" w:rsidP="00B54469">
      <w:pPr>
        <w:rPr>
          <w:rFonts w:ascii="Arial" w:hAnsi="Arial" w:cs="Arial"/>
          <w:b/>
          <w:bCs/>
        </w:rPr>
      </w:pPr>
      <w:r w:rsidRPr="00BA2EFB">
        <w:rPr>
          <w:rFonts w:ascii="Arial" w:hAnsi="Arial" w:cs="Arial"/>
          <w:b/>
          <w:bCs/>
        </w:rPr>
        <w:t>Marketing &amp; Communications</w:t>
      </w:r>
    </w:p>
    <w:p w14:paraId="1D976B5A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Brand development, digital engagement, or social media strategy</w:t>
      </w:r>
    </w:p>
    <w:p w14:paraId="54FE24C0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Ability to amplify our voice and extend our reach</w:t>
      </w:r>
    </w:p>
    <w:p w14:paraId="34D4B769" w14:textId="77777777" w:rsidR="00B54469" w:rsidRPr="00BA2EFB" w:rsidRDefault="00B54469" w:rsidP="00B54469">
      <w:pPr>
        <w:rPr>
          <w:rFonts w:ascii="Arial" w:hAnsi="Arial" w:cs="Arial"/>
          <w:b/>
          <w:bCs/>
        </w:rPr>
      </w:pPr>
      <w:r w:rsidRPr="00BA2EFB">
        <w:rPr>
          <w:rFonts w:ascii="Arial" w:hAnsi="Arial" w:cs="Arial"/>
          <w:b/>
          <w:bCs/>
        </w:rPr>
        <w:t>Leadership &amp; Strategy</w:t>
      </w:r>
    </w:p>
    <w:p w14:paraId="5F8D12EE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Senior leadership experience in any sector</w:t>
      </w:r>
    </w:p>
    <w:p w14:paraId="421C21DB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Strategic planning, organisational development, or change leadership</w:t>
      </w:r>
    </w:p>
    <w:p w14:paraId="4C4BAFE4" w14:textId="77777777" w:rsidR="00B54469" w:rsidRPr="00BA2EFB" w:rsidRDefault="00B54469" w:rsidP="00B54469">
      <w:pPr>
        <w:rPr>
          <w:rFonts w:ascii="Arial" w:hAnsi="Arial" w:cs="Arial"/>
          <w:b/>
          <w:bCs/>
        </w:rPr>
      </w:pPr>
      <w:r w:rsidRPr="00BA2EFB">
        <w:rPr>
          <w:rFonts w:ascii="Arial" w:hAnsi="Arial" w:cs="Arial"/>
          <w:b/>
          <w:bCs/>
        </w:rPr>
        <w:t>Disability &amp; Inclusion</w:t>
      </w:r>
    </w:p>
    <w:p w14:paraId="0EA795CC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Lived experience of disability</w:t>
      </w:r>
    </w:p>
    <w:p w14:paraId="4E2A7007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Understanding of discrimination, disadvantage, and the social model of disability</w:t>
      </w:r>
    </w:p>
    <w:p w14:paraId="416DF4DF" w14:textId="5BF19EAF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>We particularly encourage applications from disabled people, people from racialised communities, LGBTQ+ people, and others underrepresented in governance.</w:t>
      </w:r>
    </w:p>
    <w:p w14:paraId="3257E614" w14:textId="77777777" w:rsidR="00B54469" w:rsidRPr="00440836" w:rsidRDefault="00B54469" w:rsidP="00B54469">
      <w:pPr>
        <w:rPr>
          <w:rFonts w:ascii="Arial" w:hAnsi="Arial" w:cs="Arial"/>
          <w:b/>
          <w:bCs/>
        </w:rPr>
      </w:pPr>
      <w:r w:rsidRPr="00440836">
        <w:rPr>
          <w:rFonts w:ascii="Arial" w:hAnsi="Arial" w:cs="Arial"/>
          <w:b/>
          <w:bCs/>
        </w:rPr>
        <w:t>What You’ll Gain</w:t>
      </w:r>
    </w:p>
    <w:p w14:paraId="712269A6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A meaningful opportunity to drive systemic change</w:t>
      </w:r>
    </w:p>
    <w:p w14:paraId="503C0415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Experience in governance, strategic leadership, and social impact</w:t>
      </w:r>
    </w:p>
    <w:p w14:paraId="39A9A71C" w14:textId="31406ABB" w:rsidR="00440836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A supportive, inclusive environment where your expertise makes a tangible difference</w:t>
      </w:r>
    </w:p>
    <w:p w14:paraId="2F22F34A" w14:textId="5F617A9C" w:rsidR="00B54469" w:rsidRPr="00D76AFC" w:rsidRDefault="00B54469" w:rsidP="00B54469">
      <w:pPr>
        <w:rPr>
          <w:rFonts w:ascii="Arial" w:hAnsi="Arial" w:cs="Arial"/>
          <w:b/>
          <w:bCs/>
        </w:rPr>
      </w:pPr>
      <w:r w:rsidRPr="00D76AFC">
        <w:rPr>
          <w:rFonts w:ascii="Arial" w:hAnsi="Arial" w:cs="Arial"/>
          <w:b/>
          <w:bCs/>
        </w:rPr>
        <w:t>How to Apply</w:t>
      </w:r>
    </w:p>
    <w:p w14:paraId="6ADC1FD1" w14:textId="3367CB9A" w:rsidR="00B54469" w:rsidRPr="009613B8" w:rsidRDefault="00B54469" w:rsidP="00B54469">
      <w:pPr>
        <w:rPr>
          <w:rFonts w:ascii="Arial" w:hAnsi="Arial" w:cs="Arial"/>
          <w:b/>
          <w:bCs/>
        </w:rPr>
      </w:pPr>
      <w:r w:rsidRPr="00DB0AB7">
        <w:rPr>
          <w:rFonts w:ascii="Arial" w:hAnsi="Arial" w:cs="Arial"/>
        </w:rPr>
        <w:t xml:space="preserve">Apply by </w:t>
      </w:r>
      <w:r w:rsidR="009613B8">
        <w:rPr>
          <w:rFonts w:ascii="Arial" w:hAnsi="Arial" w:cs="Arial"/>
          <w:b/>
          <w:bCs/>
        </w:rPr>
        <w:t>1</w:t>
      </w:r>
      <w:r w:rsidR="009613B8" w:rsidRPr="009613B8">
        <w:rPr>
          <w:rFonts w:ascii="Arial" w:hAnsi="Arial" w:cs="Arial"/>
          <w:b/>
          <w:bCs/>
          <w:vertAlign w:val="superscript"/>
        </w:rPr>
        <w:t>st</w:t>
      </w:r>
      <w:r w:rsidR="009613B8">
        <w:rPr>
          <w:rFonts w:ascii="Arial" w:hAnsi="Arial" w:cs="Arial"/>
          <w:b/>
          <w:bCs/>
        </w:rPr>
        <w:t xml:space="preserve"> July 2026 at 12pm</w:t>
      </w:r>
    </w:p>
    <w:p w14:paraId="19BD8F23" w14:textId="7CBEA02D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Send your expression of interest to </w:t>
      </w:r>
      <w:hyperlink r:id="rId7" w:history="1">
        <w:r w:rsidR="002B7A04" w:rsidRPr="009C7FAD">
          <w:rPr>
            <w:rStyle w:val="Hyperlink"/>
            <w:rFonts w:ascii="Arial" w:hAnsi="Arial" w:cs="Arial"/>
          </w:rPr>
          <w:t>kirsty.roberts@breakthrough-uk.co.uk</w:t>
        </w:r>
      </w:hyperlink>
      <w:r w:rsidRPr="00DB0AB7">
        <w:rPr>
          <w:rFonts w:ascii="Arial" w:hAnsi="Arial" w:cs="Arial"/>
        </w:rPr>
        <w:t>.</w:t>
      </w:r>
    </w:p>
    <w:p w14:paraId="1828EF15" w14:textId="6FF3387E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For an informal discussion, contact our Chair, David Coulter, via </w:t>
      </w:r>
      <w:hyperlink r:id="rId8" w:history="1">
        <w:r w:rsidR="00A4350C" w:rsidRPr="00CA6AB9">
          <w:rPr>
            <w:rStyle w:val="Hyperlink"/>
            <w:rFonts w:ascii="Arial" w:hAnsi="Arial" w:cs="Arial"/>
          </w:rPr>
          <w:t>david.andrew.coulter@gmail.com</w:t>
        </w:r>
      </w:hyperlink>
      <w:r w:rsidRPr="00DB0AB7">
        <w:rPr>
          <w:rFonts w:ascii="Arial" w:hAnsi="Arial" w:cs="Arial"/>
        </w:rPr>
        <w:t>.</w:t>
      </w:r>
    </w:p>
    <w:p w14:paraId="7568C966" w14:textId="77777777" w:rsidR="00B54469" w:rsidRPr="00DB0AB7" w:rsidRDefault="00B54469" w:rsidP="00B54469">
      <w:pPr>
        <w:rPr>
          <w:rFonts w:ascii="Arial" w:hAnsi="Arial" w:cs="Arial"/>
        </w:rPr>
      </w:pPr>
      <w:r w:rsidRPr="00DB0AB7">
        <w:rPr>
          <w:rFonts w:ascii="Arial" w:hAnsi="Arial" w:cs="Arial"/>
        </w:rPr>
        <w:t>Join us in shaping a more inclusive society.</w:t>
      </w:r>
    </w:p>
    <w:p w14:paraId="1B206902" w14:textId="77777777" w:rsidR="00DB0AB7" w:rsidRDefault="00DB0AB7" w:rsidP="00281E76">
      <w:pPr>
        <w:rPr>
          <w:rFonts w:ascii="Arial" w:hAnsi="Arial" w:cs="Arial"/>
          <w:b/>
          <w:bCs/>
          <w:u w:val="single"/>
        </w:rPr>
      </w:pPr>
    </w:p>
    <w:p w14:paraId="29BA03C4" w14:textId="016F0506" w:rsidR="00281E76" w:rsidRPr="00DB0AB7" w:rsidRDefault="00CD7DA4" w:rsidP="00D76AFC">
      <w:pPr>
        <w:jc w:val="center"/>
        <w:rPr>
          <w:rFonts w:ascii="Arial" w:hAnsi="Arial" w:cs="Arial"/>
          <w:b/>
          <w:bCs/>
          <w:u w:val="single"/>
        </w:rPr>
      </w:pPr>
      <w:r w:rsidRPr="00DB0AB7">
        <w:rPr>
          <w:rFonts w:ascii="Arial" w:hAnsi="Arial" w:cs="Arial"/>
          <w:b/>
          <w:bCs/>
          <w:u w:val="single"/>
        </w:rPr>
        <w:t>Trustee role overview</w:t>
      </w:r>
    </w:p>
    <w:p w14:paraId="602F4686" w14:textId="77777777" w:rsidR="00281E76" w:rsidRPr="00D76AFC" w:rsidRDefault="00281E76" w:rsidP="00281E76">
      <w:pPr>
        <w:rPr>
          <w:rFonts w:ascii="Arial" w:hAnsi="Arial" w:cs="Arial"/>
          <w:b/>
          <w:bCs/>
        </w:rPr>
      </w:pPr>
      <w:r w:rsidRPr="00D76AFC">
        <w:rPr>
          <w:rFonts w:ascii="Arial" w:hAnsi="Arial" w:cs="Arial"/>
          <w:b/>
          <w:bCs/>
        </w:rPr>
        <w:t>Purpose of the Role</w:t>
      </w:r>
    </w:p>
    <w:p w14:paraId="10B17818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>To ensure the charity fulfils its mission to advance disability rights, influence policy, and deliver accessible, inclusive services shaped by lived experience.</w:t>
      </w:r>
    </w:p>
    <w:p w14:paraId="0358FC66" w14:textId="77777777" w:rsidR="00281E76" w:rsidRPr="00D76AFC" w:rsidRDefault="00281E76" w:rsidP="00281E76">
      <w:pPr>
        <w:rPr>
          <w:rFonts w:ascii="Arial" w:hAnsi="Arial" w:cs="Arial"/>
          <w:b/>
          <w:bCs/>
        </w:rPr>
      </w:pPr>
      <w:r w:rsidRPr="00D76AFC">
        <w:rPr>
          <w:rFonts w:ascii="Arial" w:hAnsi="Arial" w:cs="Arial"/>
          <w:b/>
          <w:bCs/>
        </w:rPr>
        <w:t>Key Responsibilities</w:t>
      </w:r>
    </w:p>
    <w:p w14:paraId="07D79A11" w14:textId="77777777" w:rsidR="00281E76" w:rsidRPr="00D76AFC" w:rsidRDefault="00281E76" w:rsidP="00281E76">
      <w:pPr>
        <w:rPr>
          <w:rFonts w:ascii="Arial" w:hAnsi="Arial" w:cs="Arial"/>
          <w:b/>
          <w:bCs/>
        </w:rPr>
      </w:pPr>
      <w:r w:rsidRPr="00D76AFC">
        <w:rPr>
          <w:rFonts w:ascii="Arial" w:hAnsi="Arial" w:cs="Arial"/>
          <w:b/>
          <w:bCs/>
        </w:rPr>
        <w:t>Strategic Leadership</w:t>
      </w:r>
    </w:p>
    <w:p w14:paraId="753E3CD0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Contribute to setting and reviewing the charity’s strategic direction</w:t>
      </w:r>
    </w:p>
    <w:p w14:paraId="6FAFF211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lastRenderedPageBreak/>
        <w:t xml:space="preserve">• </w:t>
      </w:r>
      <w:r w:rsidRPr="00DB0AB7">
        <w:rPr>
          <w:rFonts w:ascii="Arial" w:hAnsi="Arial" w:cs="Arial"/>
        </w:rPr>
        <w:tab/>
        <w:t>Ensure the organisation centres the voices and priorities of disabled people</w:t>
      </w:r>
    </w:p>
    <w:p w14:paraId="4BE675C7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Monitor performance, impact, and risk</w:t>
      </w:r>
    </w:p>
    <w:p w14:paraId="63413A05" w14:textId="77777777" w:rsidR="00281E76" w:rsidRPr="00D76AFC" w:rsidRDefault="00281E76" w:rsidP="00281E76">
      <w:pPr>
        <w:rPr>
          <w:rFonts w:ascii="Arial" w:hAnsi="Arial" w:cs="Arial"/>
          <w:b/>
          <w:bCs/>
        </w:rPr>
      </w:pPr>
      <w:r w:rsidRPr="00D76AFC">
        <w:rPr>
          <w:rFonts w:ascii="Arial" w:hAnsi="Arial" w:cs="Arial"/>
          <w:b/>
          <w:bCs/>
        </w:rPr>
        <w:t>Governance</w:t>
      </w:r>
    </w:p>
    <w:p w14:paraId="585BACC7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Ensure compliance with charity law, safeguarding, and regulatory requirements</w:t>
      </w:r>
    </w:p>
    <w:p w14:paraId="50003BC3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Uphold high standards of transparency, accountability, and ethical practice</w:t>
      </w:r>
    </w:p>
    <w:p w14:paraId="34019024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Participate in Board meetings, sub</w:t>
      </w:r>
      <w:r w:rsidRPr="00DB0AB7">
        <w:rPr>
          <w:rFonts w:ascii="Cambria Math" w:hAnsi="Cambria Math" w:cs="Cambria Math"/>
        </w:rPr>
        <w:t>‑</w:t>
      </w:r>
      <w:r w:rsidRPr="00DB0AB7">
        <w:rPr>
          <w:rFonts w:ascii="Arial" w:hAnsi="Arial" w:cs="Arial"/>
        </w:rPr>
        <w:t>committees, and strategic discussions</w:t>
      </w:r>
    </w:p>
    <w:p w14:paraId="3B0388EC" w14:textId="77777777" w:rsidR="00281E76" w:rsidRPr="00D76AFC" w:rsidRDefault="00281E76" w:rsidP="00281E76">
      <w:pPr>
        <w:rPr>
          <w:rFonts w:ascii="Arial" w:hAnsi="Arial" w:cs="Arial"/>
          <w:b/>
          <w:bCs/>
        </w:rPr>
      </w:pPr>
      <w:r w:rsidRPr="00D76AFC">
        <w:rPr>
          <w:rFonts w:ascii="Arial" w:hAnsi="Arial" w:cs="Arial"/>
          <w:b/>
          <w:bCs/>
        </w:rPr>
        <w:t>Advocacy &amp; Influence</w:t>
      </w:r>
    </w:p>
    <w:p w14:paraId="11A8A964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Champion disability rights and the social model of disability</w:t>
      </w:r>
    </w:p>
    <w:p w14:paraId="0E772B23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Support campaigns, partnerships, and stakeholder engagement</w:t>
      </w:r>
    </w:p>
    <w:p w14:paraId="0CBE8DF9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Act as an ambassador for the organisation</w:t>
      </w:r>
    </w:p>
    <w:p w14:paraId="05593C0A" w14:textId="77777777" w:rsidR="00281E76" w:rsidRPr="00D76AFC" w:rsidRDefault="00281E76" w:rsidP="00281E76">
      <w:pPr>
        <w:rPr>
          <w:rFonts w:ascii="Arial" w:hAnsi="Arial" w:cs="Arial"/>
          <w:b/>
          <w:bCs/>
        </w:rPr>
      </w:pPr>
      <w:r w:rsidRPr="00D76AFC">
        <w:rPr>
          <w:rFonts w:ascii="Arial" w:hAnsi="Arial" w:cs="Arial"/>
          <w:b/>
          <w:bCs/>
        </w:rPr>
        <w:t>Finance &amp; Risk</w:t>
      </w:r>
    </w:p>
    <w:p w14:paraId="4B60F00C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Oversee financial sustainability and resource allocation</w:t>
      </w:r>
    </w:p>
    <w:p w14:paraId="60E5E0D6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Support income diversification and funding strategy</w:t>
      </w:r>
    </w:p>
    <w:p w14:paraId="6DEF61D5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Identify and mitigate organisational risks</w:t>
      </w:r>
    </w:p>
    <w:p w14:paraId="13891E65" w14:textId="77777777" w:rsidR="00281E76" w:rsidRPr="00D76AFC" w:rsidRDefault="00281E76" w:rsidP="00D76AFC">
      <w:pPr>
        <w:jc w:val="center"/>
        <w:rPr>
          <w:rFonts w:ascii="Arial" w:hAnsi="Arial" w:cs="Arial"/>
          <w:b/>
          <w:bCs/>
        </w:rPr>
      </w:pPr>
      <w:r w:rsidRPr="00D76AFC">
        <w:rPr>
          <w:rFonts w:ascii="Arial" w:hAnsi="Arial" w:cs="Arial"/>
          <w:b/>
          <w:bCs/>
        </w:rPr>
        <w:t>Person Specification</w:t>
      </w:r>
    </w:p>
    <w:p w14:paraId="0E5FBF78" w14:textId="77777777" w:rsidR="00281E76" w:rsidRPr="00D76AFC" w:rsidRDefault="00281E76" w:rsidP="00281E76">
      <w:pPr>
        <w:rPr>
          <w:rFonts w:ascii="Arial" w:hAnsi="Arial" w:cs="Arial"/>
          <w:b/>
          <w:bCs/>
        </w:rPr>
      </w:pPr>
      <w:r w:rsidRPr="00D76AFC">
        <w:rPr>
          <w:rFonts w:ascii="Arial" w:hAnsi="Arial" w:cs="Arial"/>
          <w:b/>
          <w:bCs/>
        </w:rPr>
        <w:t>Essential</w:t>
      </w:r>
    </w:p>
    <w:p w14:paraId="0A41099B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Commitment to disability rights, inclusion, and equity</w:t>
      </w:r>
    </w:p>
    <w:p w14:paraId="7C1A3CD2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Ability to think strategically and contribute constructively</w:t>
      </w:r>
    </w:p>
    <w:p w14:paraId="159C495D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Willingness to learn, challenge, and collaborate</w:t>
      </w:r>
    </w:p>
    <w:p w14:paraId="27B73F0A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Integrity, good judgement, and reliability</w:t>
      </w:r>
    </w:p>
    <w:p w14:paraId="3BFA3CB2" w14:textId="77777777" w:rsidR="00281E76" w:rsidRPr="00D76AFC" w:rsidRDefault="00281E76" w:rsidP="00281E76">
      <w:pPr>
        <w:rPr>
          <w:rFonts w:ascii="Arial" w:hAnsi="Arial" w:cs="Arial"/>
          <w:b/>
          <w:bCs/>
        </w:rPr>
      </w:pPr>
      <w:r w:rsidRPr="00D76AFC">
        <w:rPr>
          <w:rFonts w:ascii="Arial" w:hAnsi="Arial" w:cs="Arial"/>
          <w:b/>
          <w:bCs/>
        </w:rPr>
        <w:t>Desirable</w:t>
      </w:r>
    </w:p>
    <w:p w14:paraId="09F75F3F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Lived experience of disability</w:t>
      </w:r>
    </w:p>
    <w:p w14:paraId="720D9A8C" w14:textId="77777777" w:rsidR="00281E76" w:rsidRPr="00DB0AB7" w:rsidRDefault="00281E76" w:rsidP="00D76AFC">
      <w:pPr>
        <w:ind w:left="720" w:hanging="720"/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Experience in governance, social care, health, campaigning, policy, or community leadership</w:t>
      </w:r>
    </w:p>
    <w:p w14:paraId="0EEEE293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Understanding of co</w:t>
      </w:r>
      <w:r w:rsidRPr="00DB0AB7">
        <w:rPr>
          <w:rFonts w:ascii="Cambria Math" w:hAnsi="Cambria Math" w:cs="Cambria Math"/>
        </w:rPr>
        <w:t>‑</w:t>
      </w:r>
      <w:r w:rsidRPr="00DB0AB7">
        <w:rPr>
          <w:rFonts w:ascii="Arial" w:hAnsi="Arial" w:cs="Arial"/>
        </w:rPr>
        <w:t>production and user</w:t>
      </w:r>
      <w:r w:rsidRPr="00DB0AB7">
        <w:rPr>
          <w:rFonts w:ascii="Cambria Math" w:hAnsi="Cambria Math" w:cs="Cambria Math"/>
        </w:rPr>
        <w:t>‑</w:t>
      </w:r>
      <w:r w:rsidRPr="00DB0AB7">
        <w:rPr>
          <w:rFonts w:ascii="Arial" w:hAnsi="Arial" w:cs="Arial"/>
        </w:rPr>
        <w:t>led approaches</w:t>
      </w:r>
    </w:p>
    <w:p w14:paraId="7D76E2A9" w14:textId="77777777" w:rsidR="00281E76" w:rsidRPr="00D76AFC" w:rsidRDefault="00281E76" w:rsidP="00281E76">
      <w:pPr>
        <w:rPr>
          <w:rFonts w:ascii="Arial" w:hAnsi="Arial" w:cs="Arial"/>
          <w:b/>
          <w:bCs/>
        </w:rPr>
      </w:pPr>
      <w:r w:rsidRPr="00D76AFC">
        <w:rPr>
          <w:rFonts w:ascii="Arial" w:hAnsi="Arial" w:cs="Arial"/>
          <w:b/>
          <w:bCs/>
        </w:rPr>
        <w:t>Term &amp; Commitment</w:t>
      </w:r>
    </w:p>
    <w:p w14:paraId="54E2759D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3</w:t>
      </w:r>
      <w:r w:rsidRPr="00DB0AB7">
        <w:rPr>
          <w:rFonts w:ascii="Cambria Math" w:hAnsi="Cambria Math" w:cs="Cambria Math"/>
        </w:rPr>
        <w:t>‑</w:t>
      </w:r>
      <w:r w:rsidRPr="00DB0AB7">
        <w:rPr>
          <w:rFonts w:ascii="Arial" w:hAnsi="Arial" w:cs="Arial"/>
        </w:rPr>
        <w:t>year term, renewable</w:t>
      </w:r>
    </w:p>
    <w:p w14:paraId="0EC6EA92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Approx. 12 days per year, including meetings, preparation, and training</w:t>
      </w:r>
    </w:p>
    <w:p w14:paraId="0021910D" w14:textId="77777777" w:rsidR="00281E76" w:rsidRPr="00DB0AB7" w:rsidRDefault="00281E76" w:rsidP="00281E76">
      <w:pPr>
        <w:rPr>
          <w:rFonts w:ascii="Arial" w:hAnsi="Arial" w:cs="Arial"/>
        </w:rPr>
      </w:pPr>
      <w:r w:rsidRPr="00DB0AB7">
        <w:rPr>
          <w:rFonts w:ascii="Arial" w:hAnsi="Arial" w:cs="Arial"/>
        </w:rPr>
        <w:t xml:space="preserve">• </w:t>
      </w:r>
      <w:r w:rsidRPr="00DB0AB7">
        <w:rPr>
          <w:rFonts w:ascii="Arial" w:hAnsi="Arial" w:cs="Arial"/>
        </w:rPr>
        <w:tab/>
        <w:t>Induction and ongoing development provided</w:t>
      </w:r>
    </w:p>
    <w:p w14:paraId="22C64111" w14:textId="77777777" w:rsidR="00281E76" w:rsidRPr="00DB0AB7" w:rsidRDefault="00281E76" w:rsidP="00281E76">
      <w:pPr>
        <w:rPr>
          <w:rFonts w:ascii="Arial" w:hAnsi="Arial" w:cs="Arial"/>
        </w:rPr>
      </w:pPr>
    </w:p>
    <w:sectPr w:rsidR="00281E76" w:rsidRPr="00DB0AB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81EB" w14:textId="77777777" w:rsidR="005F7F52" w:rsidRDefault="005F7F52" w:rsidP="00EC08B9">
      <w:pPr>
        <w:spacing w:after="0" w:line="240" w:lineRule="auto"/>
      </w:pPr>
      <w:r>
        <w:separator/>
      </w:r>
    </w:p>
  </w:endnote>
  <w:endnote w:type="continuationSeparator" w:id="0">
    <w:p w14:paraId="445F0C77" w14:textId="77777777" w:rsidR="005F7F52" w:rsidRDefault="005F7F52" w:rsidP="00EC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237E" w14:textId="77777777" w:rsidR="005F7F52" w:rsidRDefault="005F7F52" w:rsidP="00EC08B9">
      <w:pPr>
        <w:spacing w:after="0" w:line="240" w:lineRule="auto"/>
      </w:pPr>
      <w:r>
        <w:separator/>
      </w:r>
    </w:p>
  </w:footnote>
  <w:footnote w:type="continuationSeparator" w:id="0">
    <w:p w14:paraId="785DD65D" w14:textId="77777777" w:rsidR="005F7F52" w:rsidRDefault="005F7F52" w:rsidP="00EC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6B8C" w14:textId="001043C5" w:rsidR="00EC08B9" w:rsidRDefault="00EC08B9">
    <w:pPr>
      <w:pStyle w:val="Header"/>
    </w:pPr>
    <w:r>
      <w:rPr>
        <w:noProof/>
      </w:rPr>
      <w:drawing>
        <wp:inline distT="0" distB="0" distL="0" distR="0" wp14:anchorId="0B049404" wp14:editId="339CE5E4">
          <wp:extent cx="1362296" cy="534444"/>
          <wp:effectExtent l="0" t="0" r="0" b="0"/>
          <wp:docPr id="1338316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31620" name="Picture 1338316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959" cy="53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70499"/>
    <w:multiLevelType w:val="hybridMultilevel"/>
    <w:tmpl w:val="017C34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340FF"/>
    <w:multiLevelType w:val="multilevel"/>
    <w:tmpl w:val="5626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113A5"/>
    <w:multiLevelType w:val="multilevel"/>
    <w:tmpl w:val="D002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832919">
    <w:abstractNumId w:val="1"/>
  </w:num>
  <w:num w:numId="2" w16cid:durableId="745495214">
    <w:abstractNumId w:val="2"/>
  </w:num>
  <w:num w:numId="3" w16cid:durableId="205862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C9"/>
    <w:rsid w:val="0019591A"/>
    <w:rsid w:val="001B7040"/>
    <w:rsid w:val="002070F9"/>
    <w:rsid w:val="002265FC"/>
    <w:rsid w:val="002416C9"/>
    <w:rsid w:val="00256B8C"/>
    <w:rsid w:val="002655FF"/>
    <w:rsid w:val="00281E76"/>
    <w:rsid w:val="002B7A04"/>
    <w:rsid w:val="003C5B50"/>
    <w:rsid w:val="003F7E48"/>
    <w:rsid w:val="00440836"/>
    <w:rsid w:val="00543F67"/>
    <w:rsid w:val="00576A99"/>
    <w:rsid w:val="005F7F52"/>
    <w:rsid w:val="006211A2"/>
    <w:rsid w:val="006C08B2"/>
    <w:rsid w:val="007C04BD"/>
    <w:rsid w:val="00810A63"/>
    <w:rsid w:val="008C293D"/>
    <w:rsid w:val="009613B8"/>
    <w:rsid w:val="00A4350C"/>
    <w:rsid w:val="00B54469"/>
    <w:rsid w:val="00B710AB"/>
    <w:rsid w:val="00B96AA8"/>
    <w:rsid w:val="00BA2EFB"/>
    <w:rsid w:val="00CD7DA4"/>
    <w:rsid w:val="00D76AFC"/>
    <w:rsid w:val="00DB0AB7"/>
    <w:rsid w:val="00DE4E07"/>
    <w:rsid w:val="00EC08B9"/>
    <w:rsid w:val="00EC7294"/>
    <w:rsid w:val="00F97A1B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43CE1"/>
  <w15:chartTrackingRefBased/>
  <w15:docId w15:val="{BE4D6E42-F0A4-430A-91F4-A3ECE56C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6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0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8B9"/>
  </w:style>
  <w:style w:type="paragraph" w:styleId="Footer">
    <w:name w:val="footer"/>
    <w:basedOn w:val="Normal"/>
    <w:link w:val="FooterChar"/>
    <w:uiPriority w:val="99"/>
    <w:unhideWhenUsed/>
    <w:rsid w:val="00EC0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8B9"/>
  </w:style>
  <w:style w:type="character" w:styleId="Hyperlink">
    <w:name w:val="Hyperlink"/>
    <w:basedOn w:val="DefaultParagraphFont"/>
    <w:uiPriority w:val="99"/>
    <w:unhideWhenUsed/>
    <w:rsid w:val="00A435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andrew.coul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sty.roberts@breakthrough-uk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Roberts</dc:creator>
  <cp:keywords/>
  <dc:description/>
  <cp:lastModifiedBy>Mark Watts</cp:lastModifiedBy>
  <cp:revision>25</cp:revision>
  <dcterms:created xsi:type="dcterms:W3CDTF">2025-05-22T20:07:00Z</dcterms:created>
  <dcterms:modified xsi:type="dcterms:W3CDTF">2026-06-09T12:47:00Z</dcterms:modified>
</cp:coreProperties>
</file>